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73D1A" w:rsidRDefault="006835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Approaches for Co-Teaching</w:t>
      </w:r>
    </w:p>
    <w:tbl>
      <w:tblPr>
        <w:tblStyle w:val="a"/>
        <w:tblW w:w="1070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6030"/>
      </w:tblGrid>
      <w:tr w:rsidR="00F73D1A">
        <w:tc>
          <w:tcPr>
            <w:tcW w:w="4675" w:type="dxa"/>
          </w:tcPr>
          <w:p w:rsidR="00F73D1A" w:rsidRDefault="006835DE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Supportive Co-Teaching</w:t>
            </w:r>
          </w:p>
          <w:p w:rsidR="00F73D1A" w:rsidRDefault="006835DE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047349" cy="1585174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349" cy="15851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</w:tcPr>
          <w:p w:rsidR="00F73D1A" w:rsidRDefault="006835DE">
            <w:pPr>
              <w:spacing w:after="160" w:line="259" w:lineRule="auto"/>
              <w:rPr>
                <w:sz w:val="24"/>
                <w:szCs w:val="24"/>
              </w:rPr>
            </w:pPr>
            <w:r w:rsidRPr="000A7D70">
              <w:rPr>
                <w:sz w:val="24"/>
                <w:szCs w:val="24"/>
              </w:rPr>
              <w:t>One teacher takes the lead inst</w:t>
            </w:r>
            <w:r w:rsidR="000A7D70">
              <w:rPr>
                <w:sz w:val="24"/>
                <w:szCs w:val="24"/>
              </w:rPr>
              <w:t xml:space="preserve">ructional role and the other </w:t>
            </w:r>
            <w:r w:rsidRPr="000A7D70">
              <w:rPr>
                <w:sz w:val="24"/>
                <w:szCs w:val="24"/>
              </w:rPr>
              <w:t>rotate</w:t>
            </w:r>
            <w:r w:rsidR="000A7D70">
              <w:rPr>
                <w:sz w:val="24"/>
                <w:szCs w:val="24"/>
              </w:rPr>
              <w:t>s</w:t>
            </w:r>
            <w:r w:rsidRPr="000A7D70">
              <w:rPr>
                <w:sz w:val="24"/>
                <w:szCs w:val="24"/>
              </w:rPr>
              <w:t xml:space="preserve"> among the students to provide su</w:t>
            </w:r>
            <w:r w:rsidR="000A7D70">
              <w:rPr>
                <w:sz w:val="24"/>
                <w:szCs w:val="24"/>
              </w:rPr>
              <w:t>pport.  The co-teacher takes</w:t>
            </w:r>
            <w:r w:rsidRPr="000A7D70">
              <w:rPr>
                <w:sz w:val="24"/>
                <w:szCs w:val="24"/>
              </w:rPr>
              <w:t xml:space="preserve"> the supportive role </w:t>
            </w:r>
            <w:r w:rsidR="000A7D70">
              <w:rPr>
                <w:sz w:val="24"/>
                <w:szCs w:val="24"/>
              </w:rPr>
              <w:t xml:space="preserve">and watches or listens </w:t>
            </w:r>
            <w:r w:rsidRPr="000A7D70">
              <w:rPr>
                <w:sz w:val="24"/>
                <w:szCs w:val="24"/>
              </w:rPr>
              <w:t>as students work toget</w:t>
            </w:r>
            <w:r>
              <w:rPr>
                <w:sz w:val="24"/>
                <w:szCs w:val="24"/>
              </w:rPr>
              <w:t>her, stepping in to provide one-to-</w:t>
            </w:r>
            <w:r w:rsidRPr="000A7D70">
              <w:rPr>
                <w:sz w:val="24"/>
                <w:szCs w:val="24"/>
              </w:rPr>
              <w:t>one tutorial assistance w</w:t>
            </w:r>
            <w:r w:rsidRPr="000A7D70">
              <w:rPr>
                <w:sz w:val="24"/>
                <w:szCs w:val="24"/>
              </w:rPr>
              <w:t xml:space="preserve">hen necessary, while the other co-teacher </w:t>
            </w:r>
            <w:r>
              <w:rPr>
                <w:sz w:val="24"/>
                <w:szCs w:val="24"/>
              </w:rPr>
              <w:t xml:space="preserve">continues to direct the lesson.  </w:t>
            </w:r>
          </w:p>
          <w:p w:rsidR="006835DE" w:rsidRPr="000A7D70" w:rsidRDefault="006835DE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Co-teachers may also work with small groups to provide assistance based on NEED not disability.</w:t>
            </w:r>
            <w:bookmarkStart w:id="0" w:name="_GoBack"/>
            <w:bookmarkEnd w:id="0"/>
          </w:p>
        </w:tc>
      </w:tr>
      <w:tr w:rsidR="00F73D1A">
        <w:tc>
          <w:tcPr>
            <w:tcW w:w="4675" w:type="dxa"/>
          </w:tcPr>
          <w:p w:rsidR="00F73D1A" w:rsidRDefault="006835DE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Parallel Teaching</w:t>
            </w:r>
          </w:p>
          <w:p w:rsidR="00F73D1A" w:rsidRDefault="006835DE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65376" cy="1585261"/>
                  <wp:effectExtent l="0" t="0" r="0" b="0"/>
                  <wp:docPr id="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76" cy="15852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73D1A" w:rsidRDefault="00F73D1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:rsidR="00F73D1A" w:rsidRPr="000A7D70" w:rsidRDefault="006835DE" w:rsidP="006835DE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Two </w:t>
            </w:r>
            <w:r w:rsidR="000A7D70">
              <w:rPr>
                <w:sz w:val="24"/>
                <w:szCs w:val="24"/>
              </w:rPr>
              <w:t xml:space="preserve">teachers </w:t>
            </w:r>
            <w:r>
              <w:rPr>
                <w:sz w:val="24"/>
                <w:szCs w:val="24"/>
              </w:rPr>
              <w:t xml:space="preserve">divide the class in half and </w:t>
            </w:r>
            <w:r w:rsidR="000A7D70">
              <w:rPr>
                <w:sz w:val="24"/>
                <w:szCs w:val="24"/>
              </w:rPr>
              <w:t xml:space="preserve">work </w:t>
            </w:r>
            <w:r w:rsidRPr="000A7D70">
              <w:rPr>
                <w:sz w:val="24"/>
                <w:szCs w:val="24"/>
              </w:rPr>
              <w:t xml:space="preserve">with </w:t>
            </w:r>
            <w:r w:rsidR="000A7D70">
              <w:rPr>
                <w:sz w:val="24"/>
                <w:szCs w:val="24"/>
              </w:rPr>
              <w:t xml:space="preserve">heterogeneously grouped </w:t>
            </w:r>
            <w:r w:rsidRPr="000A7D70">
              <w:rPr>
                <w:sz w:val="24"/>
                <w:szCs w:val="24"/>
              </w:rPr>
              <w:t>students in differ</w:t>
            </w:r>
            <w:r w:rsidR="000A7D70">
              <w:rPr>
                <w:sz w:val="24"/>
                <w:szCs w:val="24"/>
              </w:rPr>
              <w:t xml:space="preserve">ent sections of the classroom.  </w:t>
            </w:r>
            <w:r>
              <w:rPr>
                <w:sz w:val="24"/>
                <w:szCs w:val="24"/>
              </w:rPr>
              <w:t>Both teachers use the same materials of instruction.  At the end of the lesson, the two groups are pulled together for a wrap-up to summarize key information and to check for understanding.</w:t>
            </w:r>
          </w:p>
        </w:tc>
      </w:tr>
      <w:tr w:rsidR="00F73D1A">
        <w:tc>
          <w:tcPr>
            <w:tcW w:w="4675" w:type="dxa"/>
          </w:tcPr>
          <w:p w:rsidR="00F73D1A" w:rsidRDefault="006835DE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Complementary Teaching</w:t>
            </w:r>
          </w:p>
          <w:p w:rsidR="00F73D1A" w:rsidRDefault="006835DE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16063" cy="1782432"/>
                  <wp:effectExtent l="0" t="0" r="0" b="0"/>
                  <wp:docPr id="2" name="image4.png" descr="C:\Documents and Settings\HHATTON\Local Settings\Temporary Internet Files\Content.IE5\N6I9I2MV\MC900078795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C:\Documents and Settings\HHATTON\Local Settings\Temporary Internet Files\Content.IE5\N6I9I2MV\MC900078795[1].wm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063" cy="17824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</w:tcPr>
          <w:p w:rsidR="006835DE" w:rsidRDefault="006835DE" w:rsidP="006835DE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 teacher provides instruction.  The co-teacher </w:t>
            </w:r>
            <w:r w:rsidR="000A7D70">
              <w:rPr>
                <w:sz w:val="24"/>
                <w:szCs w:val="24"/>
              </w:rPr>
              <w:t>enhance</w:t>
            </w:r>
            <w:r>
              <w:rPr>
                <w:sz w:val="24"/>
                <w:szCs w:val="24"/>
              </w:rPr>
              <w:t>s</w:t>
            </w:r>
            <w:r w:rsidR="000A7D70">
              <w:rPr>
                <w:sz w:val="24"/>
                <w:szCs w:val="24"/>
              </w:rPr>
              <w:t xml:space="preserve"> the i</w:t>
            </w:r>
            <w:r w:rsidRPr="000A7D70">
              <w:rPr>
                <w:sz w:val="24"/>
                <w:szCs w:val="24"/>
              </w:rPr>
              <w:t>nstruction</w:t>
            </w:r>
            <w:r>
              <w:rPr>
                <w:sz w:val="24"/>
                <w:szCs w:val="24"/>
              </w:rPr>
              <w:t>:</w:t>
            </w:r>
          </w:p>
          <w:p w:rsidR="006835DE" w:rsidRDefault="006835DE" w:rsidP="006835D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Paraphrases the teacher’s statements</w:t>
            </w:r>
          </w:p>
          <w:p w:rsidR="006835DE" w:rsidRDefault="006835DE" w:rsidP="006835D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Asks prompted and unprompted questions</w:t>
            </w:r>
          </w:p>
          <w:p w:rsidR="006835DE" w:rsidRDefault="006835DE" w:rsidP="006835D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Models note-taking skills</w:t>
            </w:r>
          </w:p>
          <w:p w:rsidR="006835DE" w:rsidRDefault="006835DE" w:rsidP="006835D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Adds new information using examples and/or relevant stories</w:t>
            </w:r>
          </w:p>
          <w:p w:rsidR="00F73D1A" w:rsidRPr="006835DE" w:rsidRDefault="006835DE" w:rsidP="006835D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Creates or uses visual aids </w:t>
            </w:r>
            <w:r w:rsidRPr="006835DE">
              <w:rPr>
                <w:sz w:val="24"/>
                <w:szCs w:val="24"/>
              </w:rPr>
              <w:t xml:space="preserve"> </w:t>
            </w:r>
          </w:p>
        </w:tc>
      </w:tr>
      <w:tr w:rsidR="00F73D1A">
        <w:tc>
          <w:tcPr>
            <w:tcW w:w="4675" w:type="dxa"/>
          </w:tcPr>
          <w:p w:rsidR="00F73D1A" w:rsidRDefault="000A7D70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321945</wp:posOffset>
                  </wp:positionV>
                  <wp:extent cx="1986157" cy="13589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157" cy="1358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35DE">
              <w:rPr>
                <w:b/>
                <w:sz w:val="28"/>
                <w:szCs w:val="28"/>
              </w:rPr>
              <w:t>Team Teaching</w:t>
            </w:r>
          </w:p>
          <w:p w:rsidR="00F73D1A" w:rsidRDefault="00F73D1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:rsidR="00F73D1A" w:rsidRPr="000A7D70" w:rsidRDefault="006835DE" w:rsidP="006835DE">
            <w:pPr>
              <w:spacing w:after="160" w:line="259" w:lineRule="auto"/>
              <w:rPr>
                <w:sz w:val="24"/>
                <w:szCs w:val="24"/>
              </w:rPr>
            </w:pPr>
            <w:r w:rsidRPr="000A7D70">
              <w:rPr>
                <w:sz w:val="24"/>
                <w:szCs w:val="24"/>
              </w:rPr>
              <w:t>Two or more people do what the traditional teacher has always done – plan, teach, assess, and assume equal responsibility for all of the student</w:t>
            </w:r>
            <w:r>
              <w:rPr>
                <w:sz w:val="24"/>
                <w:szCs w:val="24"/>
              </w:rPr>
              <w:t>s</w:t>
            </w:r>
            <w:r w:rsidRPr="000A7D70">
              <w:rPr>
                <w:sz w:val="24"/>
                <w:szCs w:val="24"/>
              </w:rPr>
              <w:t xml:space="preserve"> in th</w:t>
            </w:r>
            <w:r w:rsidRPr="000A7D70">
              <w:rPr>
                <w:sz w:val="24"/>
                <w:szCs w:val="24"/>
              </w:rPr>
              <w:t xml:space="preserve">e classroom.  Team teachers share the leadership and the responsibilities.  For example, one might demonstrate the stems in a science experiment, and the other models the recording and illustrating of its results.  Instruction </w:t>
            </w:r>
            <w:r>
              <w:rPr>
                <w:sz w:val="24"/>
                <w:szCs w:val="24"/>
              </w:rPr>
              <w:t xml:space="preserve">of </w:t>
            </w:r>
            <w:r w:rsidRPr="000A7D70">
              <w:rPr>
                <w:sz w:val="24"/>
                <w:szCs w:val="24"/>
              </w:rPr>
              <w:t>student</w:t>
            </w:r>
            <w:r>
              <w:rPr>
                <w:sz w:val="24"/>
                <w:szCs w:val="24"/>
              </w:rPr>
              <w:t xml:space="preserve">s </w:t>
            </w:r>
            <w:r w:rsidRPr="000A7D70">
              <w:rPr>
                <w:sz w:val="24"/>
                <w:szCs w:val="24"/>
              </w:rPr>
              <w:t xml:space="preserve">moves back </w:t>
            </w:r>
            <w:r w:rsidRPr="000A7D70">
              <w:rPr>
                <w:sz w:val="24"/>
                <w:szCs w:val="24"/>
              </w:rPr>
              <w:t xml:space="preserve">and forth between the </w:t>
            </w:r>
            <w:r>
              <w:rPr>
                <w:sz w:val="24"/>
                <w:szCs w:val="24"/>
              </w:rPr>
              <w:t>two teachers.</w:t>
            </w:r>
            <w:r w:rsidRPr="000A7D70">
              <w:rPr>
                <w:sz w:val="24"/>
                <w:szCs w:val="24"/>
              </w:rPr>
              <w:t xml:space="preserve"> </w:t>
            </w:r>
          </w:p>
        </w:tc>
      </w:tr>
    </w:tbl>
    <w:p w:rsidR="00F73D1A" w:rsidRDefault="000A7D70">
      <w:pPr>
        <w:jc w:val="center"/>
        <w:rPr>
          <w:sz w:val="32"/>
          <w:szCs w:val="32"/>
        </w:rPr>
      </w:pPr>
      <w:bookmarkStart w:id="1" w:name="_gjdgxs" w:colFirst="0" w:colLast="0"/>
      <w:bookmarkEnd w:id="1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hidden="0" allowOverlap="1">
                <wp:simplePos x="0" y="0"/>
                <wp:positionH relativeFrom="margin">
                  <wp:posOffset>2387600</wp:posOffset>
                </wp:positionH>
                <wp:positionV relativeFrom="paragraph">
                  <wp:posOffset>62230</wp:posOffset>
                </wp:positionV>
                <wp:extent cx="4267200" cy="60960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73D1A" w:rsidRPr="006835DE" w:rsidRDefault="006835DE" w:rsidP="000A7D70">
                            <w:pPr>
                              <w:spacing w:line="240" w:lineRule="auto"/>
                              <w:jc w:val="right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6835DE">
                              <w:rPr>
                                <w:sz w:val="20"/>
                                <w:szCs w:val="20"/>
                              </w:rPr>
                              <w:t xml:space="preserve">From:  </w:t>
                            </w:r>
                            <w:r w:rsidRPr="006835DE">
                              <w:rPr>
                                <w:i/>
                                <w:sz w:val="20"/>
                                <w:szCs w:val="20"/>
                              </w:rPr>
                              <w:t>A Guide to Co-Teaching:  New Lessons and Strategies to Facilitate Student Learning</w:t>
                            </w:r>
                            <w:r w:rsidRPr="006835DE">
                              <w:rPr>
                                <w:sz w:val="20"/>
                                <w:szCs w:val="20"/>
                              </w:rPr>
                              <w:t xml:space="preserve">, Third Edition, by Villa, Thousand, and </w:t>
                            </w:r>
                            <w:proofErr w:type="spellStart"/>
                            <w:r w:rsidRPr="006835DE">
                              <w:rPr>
                                <w:sz w:val="20"/>
                                <w:szCs w:val="20"/>
                              </w:rPr>
                              <w:t>Nevin</w:t>
                            </w:r>
                            <w:proofErr w:type="spellEnd"/>
                            <w:r w:rsidRPr="006835DE">
                              <w:rPr>
                                <w:sz w:val="20"/>
                                <w:szCs w:val="20"/>
                              </w:rPr>
                              <w:t>.                                                                                                                                                                   Copyright 2013 by Corwin.</w:t>
                            </w:r>
                          </w:p>
                          <w:p w:rsidR="00F73D1A" w:rsidRDefault="006835DE">
                            <w:pPr>
                              <w:spacing w:line="240" w:lineRule="auto"/>
                              <w:textDirection w:val="btLr"/>
                            </w:pPr>
                            <w:r w:rsidRPr="006835DE">
                              <w:rPr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Pr="006835DE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</w:p>
                          <w:p w:rsidR="00F73D1A" w:rsidRDefault="00F73D1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188pt;margin-top:4.9pt;width:336pt;height:48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" o:allowincell="f" stroked="f">
                <v:stroke joinstyle="round"/>
                <v:textbox inset="2.53958mm,1.2694mm,2.53958mm,1.2694mm">
                  <w:txbxContent>
                    <w:p w:rsidR="00F73D1A" w:rsidRPr="006835DE" w:rsidRDefault="006835DE" w:rsidP="000A7D70">
                      <w:pPr>
                        <w:spacing w:line="240" w:lineRule="auto"/>
                        <w:jc w:val="right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6835DE">
                        <w:rPr>
                          <w:sz w:val="20"/>
                          <w:szCs w:val="20"/>
                        </w:rPr>
                        <w:t xml:space="preserve">From:  </w:t>
                      </w:r>
                      <w:r w:rsidRPr="006835DE">
                        <w:rPr>
                          <w:i/>
                          <w:sz w:val="20"/>
                          <w:szCs w:val="20"/>
                        </w:rPr>
                        <w:t>A Guide to Co-Teaching:  New Lessons and Strategies to Facilitate Student Learning</w:t>
                      </w:r>
                      <w:r w:rsidRPr="006835DE">
                        <w:rPr>
                          <w:sz w:val="20"/>
                          <w:szCs w:val="20"/>
                        </w:rPr>
                        <w:t xml:space="preserve">, Third Edition, by Villa, Thousand, and </w:t>
                      </w:r>
                      <w:proofErr w:type="spellStart"/>
                      <w:r w:rsidRPr="006835DE">
                        <w:rPr>
                          <w:sz w:val="20"/>
                          <w:szCs w:val="20"/>
                        </w:rPr>
                        <w:t>Nevin</w:t>
                      </w:r>
                      <w:proofErr w:type="spellEnd"/>
                      <w:r w:rsidRPr="006835DE">
                        <w:rPr>
                          <w:sz w:val="20"/>
                          <w:szCs w:val="20"/>
                        </w:rPr>
                        <w:t>.                                                                                                                                                                   Copyright 2013 by Corwin.</w:t>
                      </w:r>
                    </w:p>
                    <w:p w:rsidR="00F73D1A" w:rsidRDefault="006835DE">
                      <w:pPr>
                        <w:spacing w:line="240" w:lineRule="auto"/>
                        <w:textDirection w:val="btLr"/>
                      </w:pPr>
                      <w:r w:rsidRPr="006835DE">
                        <w:rPr>
                          <w:sz w:val="20"/>
                          <w:szCs w:val="20"/>
                        </w:rPr>
                        <w:t xml:space="preserve">                    </w:t>
                      </w:r>
                      <w:r w:rsidRPr="006835DE"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</w:p>
                    <w:p w:rsidR="00F73D1A" w:rsidRDefault="00F73D1A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73D1A" w:rsidSect="000A7D70">
      <w:pgSz w:w="12240" w:h="15840"/>
      <w:pgMar w:top="45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4A2"/>
    <w:multiLevelType w:val="hybridMultilevel"/>
    <w:tmpl w:val="162CFF02"/>
    <w:lvl w:ilvl="0" w:tplc="6936B1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1A"/>
    <w:rsid w:val="000A7D70"/>
    <w:rsid w:val="006835DE"/>
    <w:rsid w:val="00F7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C3CCE20-7C1F-43A6-BC13-567EE65B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83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Waller</dc:creator>
  <cp:lastModifiedBy>Wendy Waller</cp:lastModifiedBy>
  <cp:revision>2</cp:revision>
  <dcterms:created xsi:type="dcterms:W3CDTF">2017-05-30T18:40:00Z</dcterms:created>
  <dcterms:modified xsi:type="dcterms:W3CDTF">2017-05-30T18:40:00Z</dcterms:modified>
</cp:coreProperties>
</file>