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55C" w:rsidRDefault="0077055C" w:rsidP="0077055C">
      <w:pPr>
        <w:jc w:val="center"/>
        <w:rPr>
          <w:rFonts w:asciiTheme="minorHAnsi" w:hAnsiTheme="minorHAnsi"/>
          <w:b/>
          <w:sz w:val="28"/>
          <w:szCs w:val="28"/>
        </w:rPr>
      </w:pPr>
    </w:p>
    <w:p w:rsidR="0077055C" w:rsidRPr="0077055C" w:rsidRDefault="0077055C" w:rsidP="0077055C">
      <w:pPr>
        <w:jc w:val="center"/>
        <w:rPr>
          <w:rFonts w:asciiTheme="minorHAnsi" w:hAnsiTheme="minorHAnsi"/>
          <w:b/>
          <w:sz w:val="28"/>
          <w:szCs w:val="28"/>
        </w:rPr>
      </w:pPr>
      <w:r w:rsidRPr="0077055C">
        <w:rPr>
          <w:rFonts w:asciiTheme="minorHAnsi" w:hAnsiTheme="minorHAnsi"/>
          <w:b/>
          <w:sz w:val="28"/>
          <w:szCs w:val="28"/>
        </w:rPr>
        <w:t>Wicomico County Observation and Evaluation Rubric</w:t>
      </w:r>
    </w:p>
    <w:p w:rsidR="0077055C" w:rsidRPr="0087342A" w:rsidRDefault="0077055C">
      <w:pPr>
        <w:rPr>
          <w:sz w:val="4"/>
        </w:rPr>
      </w:pPr>
    </w:p>
    <w:tbl>
      <w:tblPr>
        <w:tblStyle w:val="TableGrid"/>
        <w:tblW w:w="5626" w:type="pct"/>
        <w:tblInd w:w="-810" w:type="dxa"/>
        <w:tblLook w:val="04A0" w:firstRow="1" w:lastRow="0" w:firstColumn="1" w:lastColumn="0" w:noHBand="0" w:noVBand="1"/>
      </w:tblPr>
      <w:tblGrid>
        <w:gridCol w:w="2443"/>
        <w:gridCol w:w="2543"/>
        <w:gridCol w:w="327"/>
        <w:gridCol w:w="3057"/>
        <w:gridCol w:w="1415"/>
        <w:gridCol w:w="1552"/>
        <w:gridCol w:w="3246"/>
      </w:tblGrid>
      <w:tr w:rsidR="009E2763" w:rsidRPr="00340B52" w:rsidTr="0087342A">
        <w:trPr>
          <w:trHeight w:val="379"/>
          <w:tblHeader/>
        </w:trPr>
        <w:tc>
          <w:tcPr>
            <w:tcW w:w="5000" w:type="pct"/>
            <w:gridSpan w:val="7"/>
            <w:tcBorders>
              <w:top w:val="nil"/>
              <w:left w:val="nil"/>
              <w:right w:val="nil"/>
            </w:tcBorders>
          </w:tcPr>
          <w:p w:rsidR="009E2763" w:rsidRPr="0077055C" w:rsidRDefault="009E2763" w:rsidP="00A64998">
            <w:pPr>
              <w:rPr>
                <w:rFonts w:asciiTheme="minorHAnsi" w:hAnsiTheme="minorHAnsi" w:cstheme="minorHAnsi"/>
                <w:b/>
                <w:color w:val="FFFFFF" w:themeColor="background1"/>
              </w:rPr>
            </w:pPr>
            <w:r w:rsidRPr="0077055C">
              <w:rPr>
                <w:rFonts w:asciiTheme="minorHAnsi" w:hAnsiTheme="minorHAnsi" w:cstheme="minorHAnsi"/>
                <w:b/>
                <w:bCs/>
                <w:iCs/>
              </w:rPr>
              <w:t>Domain 2: The Classroom Environment</w:t>
            </w:r>
          </w:p>
        </w:tc>
      </w:tr>
      <w:tr w:rsidR="0087342A" w:rsidRPr="00A42A21" w:rsidTr="0087342A">
        <w:trPr>
          <w:trHeight w:val="368"/>
          <w:tblHeader/>
        </w:trPr>
        <w:tc>
          <w:tcPr>
            <w:tcW w:w="1710" w:type="pct"/>
            <w:gridSpan w:val="2"/>
            <w:shd w:val="clear" w:color="auto" w:fill="000000" w:themeFill="text1"/>
            <w:vAlign w:val="center"/>
          </w:tcPr>
          <w:p w:rsidR="009E2763" w:rsidRPr="009E2763" w:rsidRDefault="009E2763" w:rsidP="00A64998">
            <w:pPr>
              <w:jc w:val="center"/>
              <w:rPr>
                <w:rFonts w:asciiTheme="minorHAnsi" w:hAnsiTheme="minorHAnsi" w:cstheme="minorHAnsi"/>
                <w:b/>
                <w:bCs/>
                <w:iCs/>
                <w:color w:val="FFFFFF" w:themeColor="background1"/>
                <w:sz w:val="18"/>
                <w:szCs w:val="18"/>
              </w:rPr>
            </w:pPr>
          </w:p>
        </w:tc>
        <w:tc>
          <w:tcPr>
            <w:tcW w:w="1645" w:type="pct"/>
            <w:gridSpan w:val="3"/>
            <w:shd w:val="clear" w:color="auto" w:fill="000000" w:themeFill="text1"/>
            <w:vAlign w:val="center"/>
          </w:tcPr>
          <w:p w:rsidR="009E2763" w:rsidRPr="009E2763" w:rsidRDefault="009E2763" w:rsidP="00A64998">
            <w:pPr>
              <w:jc w:val="center"/>
              <w:rPr>
                <w:rFonts w:asciiTheme="minorHAnsi" w:hAnsiTheme="minorHAnsi" w:cstheme="minorHAnsi"/>
                <w:b/>
                <w:bCs/>
                <w:iCs/>
                <w:color w:val="FFFFFF" w:themeColor="background1"/>
                <w:sz w:val="18"/>
                <w:szCs w:val="18"/>
              </w:rPr>
            </w:pPr>
            <w:r w:rsidRPr="009E2763">
              <w:rPr>
                <w:rFonts w:asciiTheme="minorHAnsi" w:hAnsiTheme="minorHAnsi" w:cstheme="minorHAnsi"/>
                <w:b/>
                <w:color w:val="FFFFFF" w:themeColor="background1"/>
                <w:sz w:val="18"/>
                <w:szCs w:val="18"/>
              </w:rPr>
              <w:t>LEVEL OF PERFORMANCE</w:t>
            </w:r>
          </w:p>
        </w:tc>
        <w:tc>
          <w:tcPr>
            <w:tcW w:w="1645" w:type="pct"/>
            <w:gridSpan w:val="2"/>
            <w:shd w:val="clear" w:color="auto" w:fill="000000" w:themeFill="text1"/>
          </w:tcPr>
          <w:p w:rsidR="009E2763" w:rsidRPr="009E2763" w:rsidRDefault="009E2763" w:rsidP="00A64998">
            <w:pPr>
              <w:jc w:val="center"/>
              <w:rPr>
                <w:rFonts w:asciiTheme="minorHAnsi" w:hAnsiTheme="minorHAnsi" w:cstheme="minorHAnsi"/>
                <w:b/>
                <w:color w:val="FFFFFF" w:themeColor="background1"/>
                <w:sz w:val="18"/>
                <w:szCs w:val="18"/>
              </w:rPr>
            </w:pPr>
          </w:p>
        </w:tc>
      </w:tr>
      <w:tr w:rsidR="0087342A" w:rsidRPr="00A42A21" w:rsidTr="0087342A">
        <w:trPr>
          <w:trHeight w:val="265"/>
          <w:tblHeader/>
        </w:trPr>
        <w:tc>
          <w:tcPr>
            <w:tcW w:w="838" w:type="pct"/>
            <w:tcBorders>
              <w:bottom w:val="single" w:sz="18" w:space="0" w:color="auto"/>
            </w:tcBorders>
            <w:vAlign w:val="center"/>
          </w:tcPr>
          <w:p w:rsidR="009E2763" w:rsidRPr="009E2763" w:rsidRDefault="00A57BEC" w:rsidP="00A64998">
            <w:pPr>
              <w:pStyle w:val="ListParagraph"/>
              <w:ind w:left="0"/>
              <w:jc w:val="center"/>
              <w:rPr>
                <w:rFonts w:asciiTheme="minorHAnsi" w:hAnsiTheme="minorHAnsi" w:cstheme="minorHAnsi"/>
                <w:b/>
                <w:sz w:val="18"/>
                <w:szCs w:val="18"/>
              </w:rPr>
            </w:pPr>
            <w:r>
              <w:rPr>
                <w:rFonts w:asciiTheme="minorHAnsi" w:hAnsiTheme="minorHAnsi" w:cstheme="minorHAnsi"/>
                <w:b/>
                <w:sz w:val="18"/>
                <w:szCs w:val="18"/>
              </w:rPr>
              <w:t>COMPONENTS</w:t>
            </w:r>
            <w:bookmarkStart w:id="0" w:name="_GoBack"/>
            <w:bookmarkEnd w:id="0"/>
          </w:p>
        </w:tc>
        <w:tc>
          <w:tcPr>
            <w:tcW w:w="984" w:type="pct"/>
            <w:gridSpan w:val="2"/>
            <w:tcBorders>
              <w:bottom w:val="single" w:sz="18" w:space="0" w:color="auto"/>
              <w:right w:val="single" w:sz="36" w:space="0" w:color="auto"/>
            </w:tcBorders>
            <w:vAlign w:val="center"/>
          </w:tcPr>
          <w:p w:rsidR="009E2763" w:rsidRPr="009E2763" w:rsidRDefault="009E2763" w:rsidP="00A64998">
            <w:pPr>
              <w:pStyle w:val="ListParagraph"/>
              <w:ind w:left="0"/>
              <w:jc w:val="center"/>
              <w:rPr>
                <w:rFonts w:asciiTheme="minorHAnsi" w:hAnsiTheme="minorHAnsi" w:cstheme="minorHAnsi"/>
                <w:b/>
                <w:caps/>
                <w:sz w:val="18"/>
                <w:szCs w:val="18"/>
              </w:rPr>
            </w:pPr>
            <w:r w:rsidRPr="009E2763">
              <w:rPr>
                <w:rFonts w:asciiTheme="minorHAnsi" w:hAnsiTheme="minorHAnsi" w:cstheme="minorHAnsi"/>
                <w:b/>
                <w:caps/>
                <w:sz w:val="18"/>
                <w:szCs w:val="18"/>
              </w:rPr>
              <w:t>Ineffective</w:t>
            </w:r>
          </w:p>
        </w:tc>
        <w:tc>
          <w:tcPr>
            <w:tcW w:w="1048" w:type="pct"/>
            <w:tcBorders>
              <w:left w:val="single" w:sz="36" w:space="0" w:color="auto"/>
              <w:bottom w:val="single" w:sz="18" w:space="0" w:color="auto"/>
            </w:tcBorders>
            <w:vAlign w:val="center"/>
          </w:tcPr>
          <w:p w:rsidR="009E2763" w:rsidRPr="009E2763" w:rsidRDefault="009E2763" w:rsidP="00A64998">
            <w:pPr>
              <w:pStyle w:val="ListParagraph"/>
              <w:ind w:left="0"/>
              <w:jc w:val="center"/>
              <w:rPr>
                <w:rFonts w:asciiTheme="minorHAnsi" w:hAnsiTheme="minorHAnsi" w:cstheme="minorHAnsi"/>
                <w:b/>
                <w:caps/>
                <w:sz w:val="18"/>
                <w:szCs w:val="18"/>
              </w:rPr>
            </w:pPr>
            <w:r w:rsidRPr="009E2763">
              <w:rPr>
                <w:rFonts w:asciiTheme="minorHAnsi" w:hAnsiTheme="minorHAnsi" w:cstheme="minorHAnsi"/>
                <w:b/>
                <w:caps/>
                <w:sz w:val="18"/>
                <w:szCs w:val="18"/>
              </w:rPr>
              <w:t>Developing</w:t>
            </w:r>
          </w:p>
        </w:tc>
        <w:tc>
          <w:tcPr>
            <w:tcW w:w="1017" w:type="pct"/>
            <w:gridSpan w:val="2"/>
            <w:tcBorders>
              <w:bottom w:val="single" w:sz="18" w:space="0" w:color="auto"/>
            </w:tcBorders>
            <w:vAlign w:val="center"/>
          </w:tcPr>
          <w:p w:rsidR="009E2763" w:rsidRPr="009E2763" w:rsidRDefault="009E2763" w:rsidP="00A64998">
            <w:pPr>
              <w:pStyle w:val="ListParagraph"/>
              <w:ind w:left="0"/>
              <w:jc w:val="center"/>
              <w:rPr>
                <w:rFonts w:asciiTheme="minorHAnsi" w:hAnsiTheme="minorHAnsi" w:cstheme="minorHAnsi"/>
                <w:b/>
                <w:caps/>
                <w:sz w:val="18"/>
                <w:szCs w:val="18"/>
              </w:rPr>
            </w:pPr>
            <w:r w:rsidRPr="009E2763">
              <w:rPr>
                <w:rFonts w:asciiTheme="minorHAnsi" w:hAnsiTheme="minorHAnsi" w:cstheme="minorHAnsi"/>
                <w:b/>
                <w:caps/>
                <w:sz w:val="18"/>
                <w:szCs w:val="18"/>
              </w:rPr>
              <w:t>Effective</w:t>
            </w:r>
          </w:p>
        </w:tc>
        <w:tc>
          <w:tcPr>
            <w:tcW w:w="1113" w:type="pct"/>
            <w:tcBorders>
              <w:bottom w:val="single" w:sz="18" w:space="0" w:color="auto"/>
            </w:tcBorders>
            <w:vAlign w:val="center"/>
          </w:tcPr>
          <w:p w:rsidR="009E2763" w:rsidRPr="009E2763" w:rsidRDefault="009E2763" w:rsidP="00A64998">
            <w:pPr>
              <w:pStyle w:val="ListParagraph"/>
              <w:ind w:left="0"/>
              <w:jc w:val="center"/>
              <w:rPr>
                <w:rFonts w:asciiTheme="minorHAnsi" w:hAnsiTheme="minorHAnsi" w:cstheme="minorHAnsi"/>
                <w:b/>
                <w:caps/>
                <w:sz w:val="18"/>
                <w:szCs w:val="18"/>
              </w:rPr>
            </w:pPr>
            <w:r w:rsidRPr="009E2763">
              <w:rPr>
                <w:rFonts w:asciiTheme="minorHAnsi" w:hAnsiTheme="minorHAnsi" w:cstheme="minorHAnsi"/>
                <w:b/>
                <w:caps/>
                <w:sz w:val="18"/>
                <w:szCs w:val="18"/>
              </w:rPr>
              <w:t>Highly Effective</w:t>
            </w:r>
          </w:p>
        </w:tc>
      </w:tr>
      <w:tr w:rsidR="0087342A" w:rsidRPr="0087342A" w:rsidTr="0087342A">
        <w:trPr>
          <w:trHeight w:val="2219"/>
        </w:trPr>
        <w:tc>
          <w:tcPr>
            <w:tcW w:w="838" w:type="pct"/>
            <w:tcBorders>
              <w:top w:val="single" w:sz="18" w:space="0" w:color="auto"/>
              <w:bottom w:val="single" w:sz="4" w:space="0" w:color="auto"/>
            </w:tcBorders>
          </w:tcPr>
          <w:p w:rsidR="009E2763" w:rsidRPr="0087342A" w:rsidRDefault="009E2763" w:rsidP="00A64998">
            <w:pPr>
              <w:rPr>
                <w:rFonts w:asciiTheme="minorHAnsi" w:hAnsiTheme="minorHAnsi" w:cstheme="minorHAnsi"/>
                <w:sz w:val="22"/>
                <w:szCs w:val="22"/>
              </w:rPr>
            </w:pPr>
            <w:r w:rsidRPr="0087342A">
              <w:rPr>
                <w:rFonts w:asciiTheme="minorHAnsi" w:hAnsiTheme="minorHAnsi" w:cstheme="minorHAnsi"/>
                <w:sz w:val="22"/>
                <w:szCs w:val="22"/>
              </w:rPr>
              <w:t>2a:</w:t>
            </w:r>
          </w:p>
          <w:p w:rsidR="009E2763" w:rsidRPr="0087342A" w:rsidRDefault="009E2763" w:rsidP="00A64998">
            <w:pPr>
              <w:rPr>
                <w:rFonts w:asciiTheme="minorHAnsi" w:hAnsiTheme="minorHAnsi" w:cstheme="minorHAnsi"/>
                <w:sz w:val="22"/>
                <w:szCs w:val="22"/>
              </w:rPr>
            </w:pPr>
            <w:r w:rsidRPr="0087342A">
              <w:rPr>
                <w:rFonts w:asciiTheme="minorHAnsi" w:hAnsiTheme="minorHAnsi" w:cstheme="minorHAnsi"/>
                <w:sz w:val="22"/>
                <w:szCs w:val="22"/>
              </w:rPr>
              <w:t xml:space="preserve">Creating an Environment of Respect and Rapport </w:t>
            </w:r>
          </w:p>
          <w:p w:rsidR="009E2763" w:rsidRPr="0087342A" w:rsidRDefault="009E2763" w:rsidP="00A64998">
            <w:pPr>
              <w:pStyle w:val="ListParagraph"/>
              <w:ind w:left="0"/>
              <w:rPr>
                <w:rFonts w:asciiTheme="minorHAnsi" w:hAnsiTheme="minorHAnsi" w:cstheme="minorHAnsi"/>
                <w:sz w:val="22"/>
                <w:szCs w:val="22"/>
              </w:rPr>
            </w:pPr>
          </w:p>
        </w:tc>
        <w:tc>
          <w:tcPr>
            <w:tcW w:w="984" w:type="pct"/>
            <w:gridSpan w:val="2"/>
            <w:tcBorders>
              <w:top w:val="single" w:sz="18" w:space="0" w:color="auto"/>
              <w:bottom w:val="single" w:sz="4" w:space="0" w:color="auto"/>
              <w:right w:val="single" w:sz="36"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Classroom interactions among the teacher and individual students are not respectful and do not reflect caring and sensitivity to students’ cultures and levels of development.</w:t>
            </w:r>
          </w:p>
        </w:tc>
        <w:tc>
          <w:tcPr>
            <w:tcW w:w="1048" w:type="pct"/>
            <w:tcBorders>
              <w:top w:val="single" w:sz="18" w:space="0" w:color="auto"/>
              <w:left w:val="single" w:sz="36"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Classroom interactions among the teacher and individual students are generally respectful and free from conflict but may be characterized by occasional displays of insensitivity or lack of responsiveness to cultural or developmental differences among students.</w:t>
            </w:r>
          </w:p>
        </w:tc>
        <w:tc>
          <w:tcPr>
            <w:tcW w:w="1017" w:type="pct"/>
            <w:gridSpan w:val="2"/>
            <w:tcBorders>
              <w:top w:val="single" w:sz="18"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 xml:space="preserve">Classroom interactions among the teacher and individual students are respectful and reflect caring and sensitivity to students’ cultures and levels of development.   The teacher addresses and intervenes when conflicts or misunderstandings occur.  </w:t>
            </w:r>
          </w:p>
        </w:tc>
        <w:tc>
          <w:tcPr>
            <w:tcW w:w="1113" w:type="pct"/>
            <w:tcBorders>
              <w:top w:val="single" w:sz="18" w:space="0" w:color="auto"/>
              <w:bottom w:val="single" w:sz="4" w:space="0" w:color="auto"/>
            </w:tcBorders>
          </w:tcPr>
          <w:p w:rsidR="0077055C"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Classroom interactions among the teacher and individual students are respectful and reflect caring and sensitivity to students’ cultures and levels of development.   The teacher addresses and intervenes when conflicts or misunderstandings occur.  The teacher takes proactive measures to achieve civility among members of the class.</w:t>
            </w:r>
          </w:p>
        </w:tc>
      </w:tr>
      <w:tr w:rsidR="0087342A" w:rsidRPr="0087342A" w:rsidTr="0087342A">
        <w:trPr>
          <w:trHeight w:val="1669"/>
        </w:trPr>
        <w:tc>
          <w:tcPr>
            <w:tcW w:w="838" w:type="pct"/>
            <w:tcBorders>
              <w:top w:val="single" w:sz="18" w:space="0" w:color="auto"/>
              <w:bottom w:val="single" w:sz="4" w:space="0" w:color="auto"/>
            </w:tcBorders>
          </w:tcPr>
          <w:p w:rsidR="009E2763" w:rsidRPr="0087342A" w:rsidRDefault="009E2763" w:rsidP="00A64998">
            <w:pPr>
              <w:rPr>
                <w:rFonts w:asciiTheme="minorHAnsi" w:hAnsiTheme="minorHAnsi" w:cstheme="minorHAnsi"/>
                <w:sz w:val="22"/>
                <w:szCs w:val="22"/>
              </w:rPr>
            </w:pPr>
            <w:r w:rsidRPr="0087342A">
              <w:rPr>
                <w:rFonts w:asciiTheme="minorHAnsi" w:hAnsiTheme="minorHAnsi" w:cstheme="minorHAnsi"/>
                <w:sz w:val="22"/>
                <w:szCs w:val="22"/>
              </w:rPr>
              <w:t>2b:</w:t>
            </w:r>
          </w:p>
          <w:p w:rsidR="009E2763" w:rsidRPr="0087342A" w:rsidRDefault="009E2763" w:rsidP="00A64998">
            <w:pPr>
              <w:rPr>
                <w:rFonts w:asciiTheme="minorHAnsi" w:hAnsiTheme="minorHAnsi" w:cstheme="minorHAnsi"/>
                <w:sz w:val="22"/>
                <w:szCs w:val="22"/>
              </w:rPr>
            </w:pPr>
            <w:r w:rsidRPr="0087342A">
              <w:rPr>
                <w:rFonts w:asciiTheme="minorHAnsi" w:hAnsiTheme="minorHAnsi" w:cstheme="minorHAnsi"/>
                <w:sz w:val="22"/>
                <w:szCs w:val="22"/>
              </w:rPr>
              <w:t>Establishing a Culture for Learning</w:t>
            </w:r>
          </w:p>
          <w:p w:rsidR="009E2763" w:rsidRPr="0087342A" w:rsidRDefault="009E2763" w:rsidP="00A64998">
            <w:pPr>
              <w:rPr>
                <w:rFonts w:asciiTheme="minorHAnsi" w:hAnsiTheme="minorHAnsi" w:cstheme="minorHAnsi"/>
                <w:sz w:val="22"/>
                <w:szCs w:val="22"/>
              </w:rPr>
            </w:pPr>
          </w:p>
        </w:tc>
        <w:tc>
          <w:tcPr>
            <w:tcW w:w="984" w:type="pct"/>
            <w:gridSpan w:val="2"/>
            <w:tcBorders>
              <w:top w:val="single" w:sz="18" w:space="0" w:color="auto"/>
              <w:bottom w:val="single" w:sz="4" w:space="0" w:color="auto"/>
              <w:right w:val="single" w:sz="36"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 xml:space="preserve">The teacher does not convey enthusiasm for the content and is not working toward establishing high expectations for learning.  </w:t>
            </w:r>
          </w:p>
        </w:tc>
        <w:tc>
          <w:tcPr>
            <w:tcW w:w="1048" w:type="pct"/>
            <w:tcBorders>
              <w:top w:val="single" w:sz="18" w:space="0" w:color="auto"/>
              <w:left w:val="single" w:sz="36"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 xml:space="preserve">The teacher conveys enthusiasm for the content and is working toward establishing high expectations for learning.  </w:t>
            </w:r>
          </w:p>
        </w:tc>
        <w:tc>
          <w:tcPr>
            <w:tcW w:w="1017" w:type="pct"/>
            <w:gridSpan w:val="2"/>
            <w:tcBorders>
              <w:top w:val="single" w:sz="18"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 xml:space="preserve">The teacher conveys enthusiasm for the content and encourages students’ active participation in their learning.  The teacher establishes and maintains high expectations for learning.  </w:t>
            </w:r>
          </w:p>
        </w:tc>
        <w:tc>
          <w:tcPr>
            <w:tcW w:w="1113" w:type="pct"/>
            <w:tcBorders>
              <w:top w:val="single" w:sz="18"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The teacher conveys enthusiasm for the content and encourages students’</w:t>
            </w:r>
            <w:r w:rsidR="0077055C" w:rsidRPr="0087342A">
              <w:rPr>
                <w:rFonts w:asciiTheme="minorHAnsi" w:hAnsiTheme="minorHAnsi" w:cstheme="minorHAnsi"/>
                <w:sz w:val="22"/>
                <w:szCs w:val="22"/>
              </w:rPr>
              <w:t xml:space="preserve"> </w:t>
            </w:r>
            <w:r w:rsidRPr="0087342A">
              <w:rPr>
                <w:rFonts w:asciiTheme="minorHAnsi" w:hAnsiTheme="minorHAnsi" w:cstheme="minorHAnsi"/>
                <w:sz w:val="22"/>
                <w:szCs w:val="22"/>
              </w:rPr>
              <w:t>active participation in their learning.  The teacher and students work together to establish and maintain high expectations for learning.</w:t>
            </w:r>
          </w:p>
        </w:tc>
      </w:tr>
      <w:tr w:rsidR="0087342A" w:rsidRPr="0087342A" w:rsidTr="0087342A">
        <w:trPr>
          <w:trHeight w:val="1384"/>
        </w:trPr>
        <w:tc>
          <w:tcPr>
            <w:tcW w:w="838" w:type="pct"/>
            <w:tcBorders>
              <w:top w:val="single" w:sz="18" w:space="0" w:color="auto"/>
              <w:bottom w:val="single" w:sz="4" w:space="0" w:color="auto"/>
            </w:tcBorders>
          </w:tcPr>
          <w:p w:rsidR="009E2763" w:rsidRPr="0087342A" w:rsidRDefault="009E2763" w:rsidP="00A64998">
            <w:pPr>
              <w:rPr>
                <w:rFonts w:asciiTheme="minorHAnsi" w:hAnsiTheme="minorHAnsi" w:cstheme="minorHAnsi"/>
                <w:sz w:val="22"/>
                <w:szCs w:val="22"/>
              </w:rPr>
            </w:pPr>
            <w:r w:rsidRPr="0087342A">
              <w:rPr>
                <w:rFonts w:asciiTheme="minorHAnsi" w:hAnsiTheme="minorHAnsi" w:cstheme="minorHAnsi"/>
                <w:sz w:val="22"/>
                <w:szCs w:val="22"/>
              </w:rPr>
              <w:t>2c:</w:t>
            </w:r>
          </w:p>
          <w:p w:rsidR="009E2763" w:rsidRPr="0087342A" w:rsidRDefault="009E2763" w:rsidP="00A64998">
            <w:pPr>
              <w:rPr>
                <w:rFonts w:asciiTheme="minorHAnsi" w:hAnsiTheme="minorHAnsi" w:cstheme="minorHAnsi"/>
                <w:sz w:val="22"/>
                <w:szCs w:val="22"/>
              </w:rPr>
            </w:pPr>
            <w:r w:rsidRPr="0087342A">
              <w:rPr>
                <w:rFonts w:asciiTheme="minorHAnsi" w:hAnsiTheme="minorHAnsi" w:cstheme="minorHAnsi"/>
                <w:sz w:val="22"/>
                <w:szCs w:val="22"/>
              </w:rPr>
              <w:t>Managing Classroom Procedures</w:t>
            </w:r>
          </w:p>
          <w:p w:rsidR="009E2763" w:rsidRPr="0087342A" w:rsidRDefault="009E2763" w:rsidP="00A64998">
            <w:pPr>
              <w:rPr>
                <w:rFonts w:asciiTheme="minorHAnsi" w:hAnsiTheme="minorHAnsi" w:cstheme="minorHAnsi"/>
                <w:sz w:val="22"/>
                <w:szCs w:val="22"/>
              </w:rPr>
            </w:pPr>
          </w:p>
        </w:tc>
        <w:tc>
          <w:tcPr>
            <w:tcW w:w="984" w:type="pct"/>
            <w:gridSpan w:val="2"/>
            <w:tcBorders>
              <w:top w:val="single" w:sz="18" w:space="0" w:color="auto"/>
              <w:bottom w:val="single" w:sz="4" w:space="0" w:color="auto"/>
              <w:right w:val="single" w:sz="36"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 xml:space="preserve">The teacher does not manage classroom routines and procedures. </w:t>
            </w:r>
          </w:p>
        </w:tc>
        <w:tc>
          <w:tcPr>
            <w:tcW w:w="1048" w:type="pct"/>
            <w:tcBorders>
              <w:top w:val="single" w:sz="18" w:space="0" w:color="auto"/>
              <w:left w:val="single" w:sz="36"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The teacher establishes inefficient classroom routines and procedures resulting in a loss of instructional time.</w:t>
            </w:r>
          </w:p>
        </w:tc>
        <w:tc>
          <w:tcPr>
            <w:tcW w:w="1017" w:type="pct"/>
            <w:gridSpan w:val="2"/>
            <w:tcBorders>
              <w:top w:val="single" w:sz="18"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 xml:space="preserve">The teacher establishes and maintains classroom routines and procedures to minimize the loss of instructional time. </w:t>
            </w:r>
          </w:p>
        </w:tc>
        <w:tc>
          <w:tcPr>
            <w:tcW w:w="1113" w:type="pct"/>
            <w:tcBorders>
              <w:top w:val="single" w:sz="18" w:space="0" w:color="auto"/>
              <w:bottom w:val="single" w:sz="4" w:space="0" w:color="auto"/>
            </w:tcBorders>
          </w:tcPr>
          <w:p w:rsidR="0077055C"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The teacher maximizes instructional time by establishing and maintaining classroom routines and procedures for seamless transitions, handling of supplies and performa</w:t>
            </w:r>
            <w:r w:rsidR="0087342A">
              <w:rPr>
                <w:rFonts w:asciiTheme="minorHAnsi" w:hAnsiTheme="minorHAnsi" w:cstheme="minorHAnsi"/>
                <w:sz w:val="22"/>
                <w:szCs w:val="22"/>
              </w:rPr>
              <w:t>nce of non-instructional duties</w:t>
            </w:r>
          </w:p>
        </w:tc>
      </w:tr>
      <w:tr w:rsidR="0087342A" w:rsidRPr="0087342A" w:rsidTr="0087342A">
        <w:trPr>
          <w:trHeight w:val="2295"/>
        </w:trPr>
        <w:tc>
          <w:tcPr>
            <w:tcW w:w="838" w:type="pct"/>
            <w:tcBorders>
              <w:top w:val="single" w:sz="18" w:space="0" w:color="auto"/>
              <w:bottom w:val="single" w:sz="4" w:space="0" w:color="auto"/>
            </w:tcBorders>
          </w:tcPr>
          <w:p w:rsidR="009E2763" w:rsidRPr="0087342A" w:rsidRDefault="009E2763" w:rsidP="00A64998">
            <w:pPr>
              <w:rPr>
                <w:rFonts w:asciiTheme="minorHAnsi" w:hAnsiTheme="minorHAnsi" w:cstheme="minorHAnsi"/>
                <w:sz w:val="22"/>
                <w:szCs w:val="22"/>
              </w:rPr>
            </w:pPr>
            <w:r w:rsidRPr="0087342A">
              <w:rPr>
                <w:rFonts w:asciiTheme="minorHAnsi" w:hAnsiTheme="minorHAnsi" w:cstheme="minorHAnsi"/>
                <w:sz w:val="22"/>
                <w:szCs w:val="22"/>
              </w:rPr>
              <w:t>2d:</w:t>
            </w:r>
          </w:p>
          <w:p w:rsidR="009E2763" w:rsidRPr="0087342A" w:rsidRDefault="009E2763" w:rsidP="00A64998">
            <w:pPr>
              <w:rPr>
                <w:rFonts w:asciiTheme="minorHAnsi" w:hAnsiTheme="minorHAnsi" w:cstheme="minorHAnsi"/>
                <w:sz w:val="22"/>
                <w:szCs w:val="22"/>
              </w:rPr>
            </w:pPr>
            <w:r w:rsidRPr="0087342A">
              <w:rPr>
                <w:rFonts w:asciiTheme="minorHAnsi" w:hAnsiTheme="minorHAnsi" w:cstheme="minorHAnsi"/>
                <w:sz w:val="22"/>
                <w:szCs w:val="22"/>
              </w:rPr>
              <w:t>Managing Student Behavior</w:t>
            </w:r>
          </w:p>
        </w:tc>
        <w:tc>
          <w:tcPr>
            <w:tcW w:w="984" w:type="pct"/>
            <w:gridSpan w:val="2"/>
            <w:tcBorders>
              <w:top w:val="single" w:sz="18" w:space="0" w:color="auto"/>
              <w:bottom w:val="single" w:sz="4" w:space="0" w:color="auto"/>
              <w:right w:val="single" w:sz="36"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The teacher does not establish student behavioral expectations.  The teacher’s response to student behavior is inappropriate.</w:t>
            </w:r>
          </w:p>
        </w:tc>
        <w:tc>
          <w:tcPr>
            <w:tcW w:w="1048" w:type="pct"/>
            <w:tcBorders>
              <w:top w:val="single" w:sz="18" w:space="0" w:color="auto"/>
              <w:left w:val="single" w:sz="36"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The teacher has made an effort to establish student behavioral expectations.  The teacher tries, with inconsistent results, to monitor and respond to student behavior.</w:t>
            </w:r>
          </w:p>
        </w:tc>
        <w:tc>
          <w:tcPr>
            <w:tcW w:w="1017" w:type="pct"/>
            <w:gridSpan w:val="2"/>
            <w:tcBorders>
              <w:top w:val="single" w:sz="18"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The teacher establishes clear student behavioral expectations aligned with county policy.  The teacher’s management of student behavior is sensitive to individual student needs and respectful of the students’ dignity.  The teacher’s response to student behavior is appropriate.</w:t>
            </w:r>
          </w:p>
        </w:tc>
        <w:tc>
          <w:tcPr>
            <w:tcW w:w="1113" w:type="pct"/>
            <w:tcBorders>
              <w:top w:val="single" w:sz="18" w:space="0" w:color="auto"/>
              <w:bottom w:val="single" w:sz="4" w:space="0" w:color="auto"/>
            </w:tcBorders>
          </w:tcPr>
          <w:p w:rsidR="009E2763" w:rsidRPr="0087342A" w:rsidRDefault="009E2763" w:rsidP="00A64998">
            <w:pPr>
              <w:pStyle w:val="ListParagraph"/>
              <w:ind w:left="0"/>
              <w:rPr>
                <w:rFonts w:asciiTheme="minorHAnsi" w:hAnsiTheme="minorHAnsi" w:cstheme="minorHAnsi"/>
                <w:sz w:val="22"/>
                <w:szCs w:val="22"/>
              </w:rPr>
            </w:pPr>
            <w:r w:rsidRPr="0087342A">
              <w:rPr>
                <w:rFonts w:asciiTheme="minorHAnsi" w:hAnsiTheme="minorHAnsi" w:cstheme="minorHAnsi"/>
                <w:sz w:val="22"/>
                <w:szCs w:val="22"/>
              </w:rPr>
              <w:t>The teacher establishes clear student behavioral expectations aligned with county policy.  The teacher’s management of student behavior is proactive, sensitive to individual student needs and respectful of the students’ dignity.  The teacher’s response to student behavior is appropriate.</w:t>
            </w:r>
          </w:p>
        </w:tc>
      </w:tr>
    </w:tbl>
    <w:p w:rsidR="00DB3D03" w:rsidRPr="0087342A" w:rsidRDefault="00A57BEC">
      <w:pPr>
        <w:rPr>
          <w:sz w:val="22"/>
          <w:szCs w:val="22"/>
        </w:rPr>
      </w:pPr>
    </w:p>
    <w:sectPr w:rsidR="00DB3D03" w:rsidRPr="0087342A" w:rsidSect="0087342A">
      <w:pgSz w:w="15840" w:h="12240" w:orient="landscape"/>
      <w:pgMar w:top="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63"/>
    <w:rsid w:val="001B2B17"/>
    <w:rsid w:val="00500795"/>
    <w:rsid w:val="0077055C"/>
    <w:rsid w:val="0087342A"/>
    <w:rsid w:val="009E2763"/>
    <w:rsid w:val="00A57BEC"/>
    <w:rsid w:val="00CE79F8"/>
    <w:rsid w:val="00E9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C730"/>
  <w15:docId w15:val="{AFC8EA6A-C49E-4E1F-A63F-0B9DD0BD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7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63"/>
    <w:pPr>
      <w:ind w:left="720"/>
      <w:contextualSpacing/>
    </w:pPr>
  </w:style>
  <w:style w:type="table" w:styleId="TableGrid">
    <w:name w:val="Table Grid"/>
    <w:basedOn w:val="TableNormal"/>
    <w:uiPriority w:val="59"/>
    <w:rsid w:val="009E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3505-CF11-4C2A-AC8F-D5B2C1E3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JEPHILLI</dc:creator>
  <cp:lastModifiedBy>Wendy Waller</cp:lastModifiedBy>
  <cp:revision>5</cp:revision>
  <cp:lastPrinted>2017-10-04T14:43:00Z</cp:lastPrinted>
  <dcterms:created xsi:type="dcterms:W3CDTF">2014-08-29T18:16:00Z</dcterms:created>
  <dcterms:modified xsi:type="dcterms:W3CDTF">2017-10-04T14:43:00Z</dcterms:modified>
</cp:coreProperties>
</file>